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小标宋_GBK" w:hAnsi="方正小标宋_GBK" w:eastAsia="方正小标宋_GBK" w:cs="方正小标宋_GBK"/>
          <w:sz w:val="44"/>
          <w:szCs w:val="44"/>
          <w:lang w:eastAsia="zh-CN"/>
        </w:rPr>
      </w:pPr>
      <w:r>
        <w:rPr>
          <w:rFonts w:hint="eastAsia" w:ascii="方正仿宋_GBK" w:hAnsi="方正仿宋_GBK" w:eastAsia="方正仿宋_GBK" w:cs="方正仿宋_GBK"/>
          <w:sz w:val="24"/>
          <w:szCs w:val="24"/>
          <w:lang w:eastAsia="zh-CN"/>
        </w:rPr>
        <w:t>附件</w:t>
      </w:r>
      <w:r>
        <w:rPr>
          <w:rFonts w:hint="eastAsia" w:ascii="方正仿宋_GBK" w:hAnsi="方正仿宋_GBK" w:eastAsia="方正仿宋_GBK" w:cs="方正仿宋_GBK"/>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银宝集团控股集团有限公司</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lang w:eastAsia="zh-CN"/>
        </w:rPr>
      </w:pPr>
      <w:r>
        <w:rPr>
          <w:rFonts w:hint="eastAsia" w:ascii="方正小标宋_GBK" w:hAnsi="方正小标宋_GBK" w:eastAsia="方正小标宋_GBK" w:cs="方正小标宋_GBK"/>
          <w:sz w:val="44"/>
          <w:szCs w:val="44"/>
          <w:lang w:eastAsia="zh-CN"/>
        </w:rPr>
        <w:t>评委“一标一评”考核表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小标宋_GBK" w:hAnsi="方正小标宋_GBK" w:eastAsia="方正小标宋_GBK" w:cs="方正小标宋_GBK"/>
          <w:lang w:val="en-US" w:eastAsia="zh-CN"/>
        </w:rPr>
      </w:pPr>
      <w:r>
        <w:rPr>
          <w:rFonts w:hint="eastAsia" w:ascii="方正小标宋_GBK" w:hAnsi="方正小标宋_GBK" w:eastAsia="方正小标宋_GBK" w:cs="方正小标宋_GBK"/>
          <w:lang w:eastAsia="zh-CN"/>
        </w:rPr>
        <w:t>项目名称：</w:t>
      </w:r>
      <w:r>
        <w:rPr>
          <w:rFonts w:hint="eastAsia" w:ascii="方正小标宋_GBK" w:hAnsi="方正小标宋_GBK" w:eastAsia="方正小标宋_GBK" w:cs="方正小标宋_GBK"/>
          <w:lang w:val="en-US" w:eastAsia="zh-CN"/>
        </w:rPr>
        <w:t xml:space="preserve">                                      开标时间：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小标宋_GBK" w:hAnsi="方正小标宋_GBK" w:eastAsia="方正小标宋_GBK" w:cs="方正小标宋_GBK"/>
          <w:u w:val="single"/>
          <w:lang w:val="en-US" w:eastAsia="zh-CN"/>
        </w:rPr>
      </w:pPr>
      <w:r>
        <w:rPr>
          <w:rFonts w:hint="eastAsia" w:ascii="方正小标宋_GBK" w:hAnsi="方正小标宋_GBK" w:eastAsia="方正小标宋_GBK" w:cs="方正小标宋_GBK"/>
          <w:lang w:eastAsia="zh-CN"/>
        </w:rPr>
        <w:t>评委姓名：</w:t>
      </w:r>
      <w:r>
        <w:rPr>
          <w:rFonts w:hint="eastAsia" w:ascii="方正小标宋_GBK" w:hAnsi="方正小标宋_GBK" w:eastAsia="方正小标宋_GBK" w:cs="方正小标宋_GBK"/>
          <w:u w:val="single"/>
          <w:lang w:val="en-US" w:eastAsia="zh-CN"/>
        </w:rPr>
        <w:t xml:space="preserve">                    </w:t>
      </w:r>
      <w:r>
        <w:rPr>
          <w:rFonts w:hint="eastAsia" w:ascii="方正小标宋_GBK" w:hAnsi="方正小标宋_GBK" w:eastAsia="方正小标宋_GBK" w:cs="方正小标宋_GBK"/>
          <w:lang w:val="en-US" w:eastAsia="zh-CN"/>
        </w:rPr>
        <w:t xml:space="preserve">           身份证号：</w:t>
      </w:r>
      <w:r>
        <w:rPr>
          <w:rFonts w:hint="eastAsia" w:ascii="方正小标宋_GBK" w:hAnsi="方正小标宋_GBK" w:eastAsia="方正小标宋_GBK" w:cs="方正小标宋_GBK"/>
          <w:u w:val="single"/>
          <w:lang w:val="en-US" w:eastAsia="zh-CN"/>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5605"/>
        <w:gridCol w:w="648"/>
        <w:gridCol w:w="672"/>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序号</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考评内容</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分值</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有</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1</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参加评标活动迟到</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3</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2</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个人基本信息发生变化，未及时通知修改完善或补充</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3</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3</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评审前不能认真阅读招标文件或资格预审文件的</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5</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4</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在评审过程中做与评审无关事情的</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5</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5</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评审过程中催促其他评委评审的</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5</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6</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打分畸高或畸低，且无法作出书面合理说明的</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5</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7</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确认参加评标后不参加评标，且未请假或者未在评标开始时间半小时前请假的</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10</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8</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将个人通讯工具带入评标区且未关机的</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10</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9</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未经评标现场监管人员或见证人员许可，擅自离开评标区或者早退的</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10</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10</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将有关评标材料携带出评标现场的</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10</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11</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未认真填写或者未完整提交评标报告的，或拒绝在评标报告上签字（签章）且无书面陈述理由的</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10</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12</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对按照规定发放的评审费不满，且有过激言行的</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10</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13</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在评标过程中因评委个人操作失误导致评标结果改变的，或者因评委个人原因导致两次及以上评标复议的</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10</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14</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无故拒绝参加复议的</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10</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15</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其他不服从评标现场监督与工作人员管理的</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10</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16</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应当回避而未回避的</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20</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17</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未按招标文件或资格审查文件规定的评审标准和方法评审，导致中标结果改变的</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20</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18</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私下接触投标人或招标人征询确定中标人的意向，或私下接受任何单位或个人明示或暗示提出的倾向或排斥特定投标人的要求</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20</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19</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以明示或暗示的方式发表诱导性意见、授意其他评委给特定投标人进行倾向性打分的</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20</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20</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委托他人代替评标或委托他人代替在评标报告上签字（签章）的</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20</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21</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暗示或诱导投标人做出澄清、说明或接受投标人主动提出的澄清、说明，影响公正评标的</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20</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22</w:t>
            </w:r>
          </w:p>
        </w:tc>
        <w:tc>
          <w:tcPr>
            <w:tcW w:w="5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对依法应当否决的投标不提出否决意见的</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20</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309"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考核单位：                                 考核人员（签字）：</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监督部门（签字）：</w:t>
            </w: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6B1CA9"/>
    <w:rsid w:val="0D7C160C"/>
    <w:rsid w:val="0FAF2ACF"/>
    <w:rsid w:val="1980525E"/>
    <w:rsid w:val="294B212C"/>
    <w:rsid w:val="2B627B23"/>
    <w:rsid w:val="3D3D2932"/>
    <w:rsid w:val="4BF31430"/>
    <w:rsid w:val="506B1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178</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2020-11-12T07:11:00Z</dcterms:created>
  <dc:creator>Administrator</dc:creator>
  <cp:lastModifiedBy>杨小Q</cp:lastModifiedBy>
  <cp:lastPrinted>2021-01-07T06:08:00Z</cp:lastPrinted>
  <dcterms:modified xsi:type="dcterms:W3CDTF">2021-03-23T01:27:18Z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648844594_btnclosed</vt:lpwstr>
  </property>
  <property fmtid="{D5CDD505-2E9C-101B-9397-08002B2CF9AE}" pid="4" name="ICV">
    <vt:lpwstr>1D5B8D64D8C34BE982FF73163E97A05C</vt:lpwstr>
  </property>
</Properties>
</file>